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Terms and Conditions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This is an investment purchase of common stock from Fish Moon Brewing Company and will include all rights as a shareholder in Fish Moon Brewing Company. As an initial shareholder there will be a six month period from time of purchase to sell back or transfer shares. If the shareholder wishes to sell the stock, Fish Moon Brewing Company will receive first option of purchasing the stock. If Fish Moon Brewing Company does not buy back the shares and the shareholder wishes to sell to another individual, he/she may sell to any individual and must record the sell with Fish Moon Brewing Company. No one person may own five percent or more of common stock in Fish Moon Brewing Company. Investor will be required to sign the Share Holder Agreement at the offices of Geoff Wesling or at another mutually agreed upon location.</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Investor will share in net income starting in year two of the company. Revenue sharing will be paid out as a dividend twice yearly. Investor will share in net revenue of year one if total net revenue surpases forcasted revenue by more than 100%.</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As a shareholder, the individual will receive ten percent off of all purchases at Fish Moon Brewing Company.</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Shareholder will receive one Fish Moon Brewing Company T-Shirt and Pint Glass as a bonus gift for initial purchase of shares.</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Gold Investors will have the ability to craft their own unique beer and help in the brewing process. The Gold Investor will also get to name the beer. Of the fifteen Gold Investors, each investors name will be selected randomly each month to help craft a beer. Depending upon availability of fermentors, two beers a month maybe brewed.</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Silver Investors will have the opportunity to help brew one of the craft beers on brew day. 3 silver investors will be selected at a time in random to help/experience the brewing process. If an individual is unable to assist on their day, another name will be drawn and their name will go back into the pool of investors who have yet to assist in brewing a beer.</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As a shareholder, you will be invited to an annual shareholder only party hosted at the brewery. </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Shareholders will not have access to financial statements, bank statements or cash flow statements. Fish Moon Brewing Company’s financials will be handled by a certified CPA and will disclose net revenue twice yearly to shareholders.</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